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26-339</w:t>
      </w:r>
    </w:p>
    <w:p>
      <w:pPr>
        <w:spacing w:before="0" w:after="0" w:line="480"/>
        <w:ind w:left="120"/>
        <w:jc w:val="left"/>
      </w:pPr>
    </w:p>
    <w:p>
      <w:pPr>
        <w:spacing w:before="0" w:after="0" w:line="480"/>
        <w:ind w:left="120"/>
        <w:jc w:val="center"/>
      </w:pPr>
      <w:r>
        <w:rPr>
          <w:rFonts w:ascii="Times New Roman" w:hAnsi="Times New Roman"/>
          <w:b/>
          <w:i w:val="false"/>
          <w:color w:val="000000"/>
          <w:sz w:val="28"/>
        </w:rPr>
        <w:t>WORKERS’ COMPENSATION DIVISION[876]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876—Chapter 6</w:t>
      </w:r>
    </w:p>
    <w:p>
      <w:pPr>
        <w:spacing w:before="0" w:after="0" w:line="480"/>
        <w:ind w:left="120"/>
        <w:jc w:val="center"/>
      </w:pPr>
      <w:r>
        <w:rPr>
          <w:rFonts w:ascii="Times New Roman" w:hAnsi="Times New Roman"/>
          <w:b w:val="false"/>
          <w:i w:val="false"/>
          <w:color w:val="000000"/>
          <w:sz w:val="24"/>
        </w:rPr>
        <w:t>“Settlements and Commutations”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10A.310(1)“a,” 17A, and Executive Order 10</w:t>
      </w:r>
    </w:p>
    <w:p>
      <w:pPr>
        <w:spacing w:before="0" w:after="0" w:line="480"/>
        <w:ind w:left="120"/>
        <w:jc w:val="both"/>
      </w:pPr>
      <w:r>
        <w:rPr>
          <w:rFonts w:ascii="Times New Roman" w:hAnsi="Times New Roman"/>
          <w:b w:val="false"/>
          <w:i w:val="false"/>
          <w:color w:val="000000"/>
          <w:sz w:val="24"/>
        </w:rPr>
        <w:t>State or federal law(s) implemented by the rulemaking: Iowa Code chapters 10A and 85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1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Via videoconference call:</w:t>
            </w:r>
            <w:r>
              <w:br/>
            </w:r>
            <w:r>
              <w:rPr>
                <w:rFonts w:ascii="Times New Roman" w:hAnsi="Times New Roman"/>
                <w:b w:val="false"/>
                <w:i w:val="false"/>
                <w:color w:val="000000"/>
                <w:sz w:val="14"/>
              </w:rPr>
              <w:t xml:space="preserve"> </w:t>
            </w:r>
            <w:hyperlink r:id="rId4">
              <w:r>
                <w:rPr>
                  <w:rStyle w:val="Hyperlink"/>
                  <w:rFonts w:ascii="Times New Roman" w:hAnsi="Times New Roman"/>
                  <w:b w:val="false"/>
                  <w:i w:val="false"/>
                  <w:color w:val="0000ff"/>
                  <w:sz w:val="14"/>
                </w:rPr>
                <w:t>dial-iowa-gov.zoom.us/j/81654334225?pwd=5JUj7K10vOhVPFGUp2QWlyI2imRXx9.1</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Workers’ Compensation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William Grell</w:t>
            </w:r>
            <w:r>
              <w:br/>
            </w:r>
            <w:r>
              <w:rPr>
                <w:rFonts w:ascii="Times New Roman" w:hAnsi="Times New Roman"/>
                <w:b w:val="false"/>
                <w:i w:val="false"/>
                <w:color w:val="000000"/>
                <w:sz w:val="14"/>
              </w:rPr>
              <w:t>Interim Workers’ Compensation Commissioner</w:t>
            </w:r>
            <w:r>
              <w:br/>
            </w:r>
            <w:r>
              <w:rPr>
                <w:rFonts w:ascii="Times New Roman" w:hAnsi="Times New Roman"/>
                <w:b w:val="false"/>
                <w:i w:val="false"/>
                <w:color w:val="000000"/>
                <w:sz w:val="14"/>
              </w:rPr>
              <w:t>Iowa Workers’ Compensation Division</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515.829.5993</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william.grell@dia.iowa.gov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spacing w:before="0" w:after="0" w:line="480"/>
        <w:ind w:left="120"/>
        <w:jc w:val="both"/>
      </w:pPr>
      <w:r>
        <w:rPr>
          <w:rFonts w:ascii="Times New Roman" w:hAnsi="Times New Roman"/>
          <w:b w:val="false"/>
          <w:i w:val="false"/>
          <w:color w:val="000000"/>
          <w:sz w:val="24"/>
        </w:rPr>
        <w:t>    Chapter 6, as a whole, contains information for parties to contested case proceedings as to various options for settlements or commutations of the contested cases. The intended purpose of each proposed rule is as follows.</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876—6.1(85,10A):</w:t>
      </w:r>
      <w:r>
        <w:rPr>
          <w:rFonts w:ascii="Times New Roman" w:hAnsi="Times New Roman"/>
          <w:b w:val="false"/>
          <w:i w:val="false"/>
          <w:color w:val="000000"/>
          <w:sz w:val="24"/>
        </w:rPr>
        <w:t xml:space="preserve"> This proposed rule contains the various types of settlements possible in workers’ compensation cases. It requires the use of certain forms. These forms, as provided in Chapter 3, create uniform documents and procedures for submission of settlements for approval by the Commissioner. The use of these documents advances efficiency in the Division and provides certainty for injured workers, employers, insurers, and their attorneys in proceeding with a settlement of a workers’ compensation claim.</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876—6.2(85,10A):</w:t>
      </w:r>
      <w:r>
        <w:rPr>
          <w:rFonts w:ascii="Times New Roman" w:hAnsi="Times New Roman"/>
          <w:b w:val="false"/>
          <w:i w:val="false"/>
          <w:color w:val="000000"/>
          <w:sz w:val="24"/>
        </w:rPr>
        <w:t xml:space="preserve"> This proposed rule contains the procedures for parties seeking a commutation of a workers’ compensation claim. A commutation, generally speaking, extinguishes ongoing liability on the part of a defendant-employer or insurer and provides an injured worker with a lump sum to “close” the injured worker’s workers’ compensation claim. This proposed rule gives parties to a workers’ compensation dispute an outline of what needs to be done, and what documents need to be provided, to submit a commutation for consideration.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876—6.3(85,10A):</w:t>
      </w:r>
      <w:r>
        <w:rPr>
          <w:rFonts w:ascii="Times New Roman" w:hAnsi="Times New Roman"/>
          <w:b w:val="false"/>
          <w:i w:val="false"/>
          <w:color w:val="000000"/>
          <w:sz w:val="24"/>
        </w:rPr>
        <w:t xml:space="preserve"> This proposed rule contains life expectancy tables and information on discounting of future benefits. These provide guidance to parties on how to best determine the amounts provided for in a commutation, thus allowing for more efficiency in approving commutations.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876—6.4(85,10A):</w:t>
      </w:r>
      <w:r>
        <w:rPr>
          <w:rFonts w:ascii="Times New Roman" w:hAnsi="Times New Roman"/>
          <w:b w:val="false"/>
          <w:i w:val="false"/>
          <w:color w:val="000000"/>
          <w:sz w:val="24"/>
        </w:rPr>
        <w:t xml:space="preserve"> This proposed rule outlines which forms to use to complete a commutation.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876—6.5(85):</w:t>
      </w:r>
      <w:r>
        <w:rPr>
          <w:rFonts w:ascii="Times New Roman" w:hAnsi="Times New Roman"/>
          <w:b w:val="false"/>
          <w:i w:val="false"/>
          <w:color w:val="000000"/>
          <w:sz w:val="24"/>
        </w:rPr>
        <w:t xml:space="preserve"> This proposed rule requires a verified statement from an injured worker indicating that the injured worker understands that a commutation or settlement under Iowa Code section 85.35(3) constitutes a final bar for future claims unless the claims are specifically reserved. This proposed rule is beneficial for those interacting with the workers’ compensation system because it ensures that the injured worker is aware of the consequences of the injured worker’s actions in proceeding with a specific type of settlement or commutation.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876—6.6(10A):</w:t>
      </w:r>
      <w:r>
        <w:rPr>
          <w:rFonts w:ascii="Times New Roman" w:hAnsi="Times New Roman"/>
          <w:b w:val="false"/>
          <w:i w:val="false"/>
          <w:color w:val="000000"/>
          <w:sz w:val="24"/>
        </w:rPr>
        <w:t xml:space="preserve"> This proposed rule limits settlements or commutations to 20 pages. This proposed rule helps promote efficiency in saving computer storage space and also allowing the Commissioner to more quickly review and approve proposed settlements or commutations.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876—6.7(85,10A):</w:t>
      </w:r>
      <w:r>
        <w:rPr>
          <w:rFonts w:ascii="Times New Roman" w:hAnsi="Times New Roman"/>
          <w:b w:val="false"/>
          <w:i w:val="false"/>
          <w:color w:val="000000"/>
          <w:sz w:val="24"/>
        </w:rPr>
        <w:t xml:space="preserve"> This proposed rule requires unrepresented claimants to have a personally completed statement form. This is beneficial because it is another item informing the claimant of the consequences of the claimant’s actions.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876—6.8(85,10A):</w:t>
      </w:r>
      <w:r>
        <w:rPr>
          <w:rFonts w:ascii="Times New Roman" w:hAnsi="Times New Roman"/>
          <w:b w:val="false"/>
          <w:i w:val="false"/>
          <w:color w:val="000000"/>
          <w:sz w:val="24"/>
        </w:rPr>
        <w:t xml:space="preserve"> This proposed rule provides for a time frame in which settlements need to be filed. It is beneficial because it promotes the efficient administration of workers’ compensation claims. If this proposed rule were not in place, settlements could theoretically be in limbo for as long as the parties wish.</w:t>
      </w:r>
    </w:p>
    <w:p>
      <w:pPr>
        <w:spacing w:before="0" w:after="0" w:line="480"/>
        <w:ind w:left="120"/>
        <w:jc w:val="both"/>
      </w:pPr>
      <w:r>
        <w:rPr>
          <w:rFonts w:ascii="Times New Roman" w:hAnsi="Times New Roman"/>
          <w:b w:val="false"/>
          <w:i w:val="false"/>
          <w:color w:val="000000"/>
          <w:sz w:val="24"/>
        </w:rPr>
        <w:t>    The reference to 876—Chapter 3 is to that chapter as published concurrently herein (</w:t>
      </w:r>
      <w:r>
        <w:rPr>
          <w:rFonts w:ascii="Times New Roman" w:hAnsi="Times New Roman"/>
          <w:b/>
          <w:i w:val="false"/>
          <w:color w:val="000000"/>
          <w:sz w:val="24"/>
        </w:rPr>
        <w:t>RA 26-338</w:t>
      </w:r>
      <w:r>
        <w:rPr>
          <w:rFonts w:ascii="Times New Roman" w:hAnsi="Times New Roman"/>
          <w:b w:val="false"/>
          <w:i w:val="false"/>
          <w:color w:val="000000"/>
          <w:sz w:val="24"/>
        </w:rPr>
        <w:t>, IAB 10/14/26).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direct costs to the proposed repromulgation of this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Injured workers, employers, insurers, and their associated counsel all benefit from the ability to commute (or close) a workers’ compensation claim. They also benefit from having clear, concise rules dictating how they can proceed with commuting their workers’ compensation claim(s). Additionally, the Division benefits by having clear and concise rules, which allow for faster approval of proposed commutations.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costs to the Division to implement or enforce this proposed chapter involve regular employee salaries and benefits.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proposed changes to the budget nor is there an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costs associated with this proposed rulemaking allow for the essential functioning of the Division and of the workers’ compensation system in the State of Iowa. They also are necessary to implement Iowa law. Inaction would allow the chapter to expire, resulting in massive confusion to the various stakeholders in the event that the stakeholders seek a commutation or settlement of a workers’ compensation claim.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is a procedural chapter, which establishes steps for commuting or settling workers’ compensation claims. There do not appear to be any less costly or intrusive methods for achieving the purpose of the proposed repromulgation of the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agency has not identified any viable alternatives to these proposed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agency has not identified any viable alternatives to these proposed rules.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 caused by this proposed rulemaking.</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876—Chapter 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w:t>
      </w:r>
    </w:p>
    <w:p>
      <w:pPr>
        <w:spacing w:before="0" w:after="0" w:line="480"/>
        <w:ind w:left="120"/>
        <w:jc w:val="center"/>
      </w:pPr>
      <w:r>
        <w:rPr>
          <w:rFonts w:ascii="Times New Roman" w:hAnsi="Times New Roman"/>
          <w:b w:val="false"/>
          <w:i w:val="false"/>
          <w:color w:val="000000"/>
          <w:sz w:val="21"/>
        </w:rPr>
        <w:t>SETTLEMENTS AND COMMUTATIONS</w:t>
      </w:r>
    </w:p>
    <w:p>
      <w:pPr>
        <w:spacing w:before="0" w:after="0" w:line="480"/>
        <w:ind w:left="120"/>
        <w:jc w:val="both"/>
      </w:pPr>
      <w:r>
        <w:rPr>
          <w:rFonts w:ascii="Times New Roman" w:hAnsi="Times New Roman"/>
          <w:b/>
          <w:i w:val="false"/>
          <w:color w:val="000000"/>
          <w:sz w:val="24"/>
        </w:rPr>
        <w:t>876—6.1</w:t>
      </w:r>
      <w:r>
        <w:rPr>
          <w:rFonts w:ascii="Times New Roman" w:hAnsi="Times New Roman"/>
          <w:b/>
          <w:i w:val="false"/>
          <w:color w:val="000000"/>
          <w:sz w:val="24"/>
        </w:rPr>
        <w:t xml:space="preserve">(85,10A) </w:t>
      </w:r>
      <w:r>
        <w:rPr>
          <w:rFonts w:ascii="Times New Roman" w:hAnsi="Times New Roman"/>
          <w:b/>
          <w:i w:val="false"/>
          <w:color w:val="000000"/>
          <w:sz w:val="24"/>
        </w:rPr>
        <w:t xml:space="preserve">Settlements under Iowa Code section 85.35. </w:t>
      </w:r>
      <w:r>
        <w:rPr>
          <w:rFonts w:ascii="Times New Roman" w:hAnsi="Times New Roman"/>
          <w:b w:val="false"/>
          <w:i w:val="false"/>
          <w:color w:val="000000"/>
          <w:sz w:val="24"/>
        </w:rPr>
        <w:t xml:space="preserve">All proposed settlements shall be submitted to the workers’ compensation commissioner for approval. An agreement for settlement pursuant to Iowa Code section </w:t>
      </w:r>
      <w:hyperlink r:id="rId6">
        <w:r>
          <w:rPr>
            <w:rStyle w:val="Hyperlink"/>
            <w:rFonts w:ascii="Times New Roman" w:hAnsi="Times New Roman"/>
            <w:b w:val="false"/>
            <w:i w:val="false"/>
            <w:color w:val="000000"/>
            <w:sz w:val="24"/>
          </w:rPr>
          <w:t>85.35(2)</w:t>
        </w:r>
      </w:hyperlink>
      <w:r>
        <w:rPr>
          <w:rFonts w:ascii="Times New Roman" w:hAnsi="Times New Roman"/>
          <w:b w:val="false"/>
          <w:i w:val="false"/>
          <w:color w:val="000000"/>
          <w:sz w:val="24"/>
        </w:rPr>
        <w:t xml:space="preserve"> shall be on Form No. 202. A compromise settlement pursuant to Iowa Code section </w:t>
      </w:r>
      <w:hyperlink r:id="rId7">
        <w:r>
          <w:rPr>
            <w:rStyle w:val="Hyperlink"/>
            <w:rFonts w:ascii="Times New Roman" w:hAnsi="Times New Roman"/>
            <w:b w:val="false"/>
            <w:i w:val="false"/>
            <w:color w:val="000000"/>
            <w:sz w:val="24"/>
          </w:rPr>
          <w:t>85.35(3)</w:t>
        </w:r>
      </w:hyperlink>
      <w:r>
        <w:rPr>
          <w:rFonts w:ascii="Times New Roman" w:hAnsi="Times New Roman"/>
          <w:b w:val="false"/>
          <w:i w:val="false"/>
          <w:color w:val="000000"/>
          <w:sz w:val="24"/>
        </w:rPr>
        <w:t xml:space="preserve"> shall be on Form No. 205. A combination settlement pursuant to Iowa Code section </w:t>
      </w:r>
      <w:hyperlink r:id="rId8">
        <w:r>
          <w:rPr>
            <w:rStyle w:val="Hyperlink"/>
            <w:rFonts w:ascii="Times New Roman" w:hAnsi="Times New Roman"/>
            <w:b w:val="false"/>
            <w:i w:val="false"/>
            <w:color w:val="000000"/>
            <w:sz w:val="24"/>
          </w:rPr>
          <w:t>85.35(4)</w:t>
        </w:r>
      </w:hyperlink>
      <w:r>
        <w:rPr>
          <w:rFonts w:ascii="Times New Roman" w:hAnsi="Times New Roman"/>
          <w:b w:val="false"/>
          <w:i w:val="false"/>
          <w:color w:val="000000"/>
          <w:sz w:val="24"/>
        </w:rPr>
        <w:t xml:space="preserve"> shall be on Form No. 203. A contingent settlement pursuant to Iowa Code section </w:t>
      </w:r>
      <w:hyperlink r:id="rId9">
        <w:r>
          <w:rPr>
            <w:rStyle w:val="Hyperlink"/>
            <w:rFonts w:ascii="Times New Roman" w:hAnsi="Times New Roman"/>
            <w:b w:val="false"/>
            <w:i w:val="false"/>
            <w:color w:val="000000"/>
            <w:sz w:val="24"/>
          </w:rPr>
          <w:t>85.35(5)</w:t>
        </w:r>
      </w:hyperlink>
      <w:r>
        <w:rPr>
          <w:rFonts w:ascii="Times New Roman" w:hAnsi="Times New Roman"/>
          <w:b w:val="false"/>
          <w:i w:val="false"/>
          <w:color w:val="000000"/>
          <w:sz w:val="24"/>
        </w:rPr>
        <w:t xml:space="preserve"> shall be on Form No. 204.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6.1(1)</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that a settlement should be approved as required by Iowa Code section </w:t>
      </w:r>
      <w:hyperlink r:id="rId10">
        <w:r>
          <w:rPr>
            <w:rStyle w:val="Hyperlink"/>
            <w:rFonts w:ascii="Times New Roman" w:hAnsi="Times New Roman"/>
            <w:b w:val="false"/>
            <w:i w:val="false"/>
            <w:color w:val="000000"/>
            <w:sz w:val="24"/>
          </w:rPr>
          <w:t>85.35(7)</w:t>
        </w:r>
      </w:hyperlink>
      <w:r>
        <w:rPr>
          <w:rFonts w:ascii="Times New Roman" w:hAnsi="Times New Roman"/>
          <w:b w:val="false"/>
          <w:i w:val="false"/>
          <w:color w:val="000000"/>
          <w:sz w:val="24"/>
        </w:rPr>
        <w:t xml:space="preserve"> shall accompany the settlement or be incorporated into the settlement forms. It is presumed that the showing required by Iowa Code section </w:t>
      </w:r>
      <w:hyperlink r:id="rId11">
        <w:r>
          <w:rPr>
            <w:rStyle w:val="Hyperlink"/>
            <w:rFonts w:ascii="Times New Roman" w:hAnsi="Times New Roman"/>
            <w:b w:val="false"/>
            <w:i w:val="false"/>
            <w:color w:val="000000"/>
            <w:sz w:val="24"/>
          </w:rPr>
          <w:t>85.35(7)</w:t>
        </w:r>
      </w:hyperlink>
      <w:r>
        <w:rPr>
          <w:rFonts w:ascii="Times New Roman" w:hAnsi="Times New Roman"/>
          <w:b w:val="false"/>
          <w:i w:val="false"/>
          <w:color w:val="000000"/>
          <w:sz w:val="24"/>
        </w:rPr>
        <w:t xml:space="preserve"> has been made if the claimant is represented by an attorney licensed to practice law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6.1(2)</w:t>
      </w:r>
      <w:r>
        <w:rPr>
          <w:rFonts w:ascii="Times New Roman" w:hAnsi="Times New Roman"/>
          <w:b w:val="false"/>
          <w:i w:val="false"/>
          <w:color w:val="000000"/>
          <w:sz w:val="24"/>
        </w:rPr>
        <w:t> </w:t>
      </w:r>
      <w:r>
        <w:rPr>
          <w:rFonts w:ascii="Times New Roman" w:hAnsi="Times New Roman"/>
          <w:b w:val="false"/>
          <w:i w:val="false"/>
          <w:color w:val="000000"/>
          <w:sz w:val="24"/>
        </w:rPr>
        <w:t>The documents for a compromise settlement shall identify either the specific date or dates of injury or the specific injurious condition or conditions, or both. The documents for a compromise settlement, including any addendum to the documents, shall not contain any language that either expressly states or implies that the proposed compromise settlement is a final settlement of any and all injuries, known or unknown, that an employee may have sustained while employed by the employer. If a compromise settlement is submitted that does not comply with this subrule, the workers’ compensation commissioner shall return the proposed compromise settlement to the party that submitted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6.1(3)</w:t>
      </w:r>
      <w:r>
        <w:rPr>
          <w:rFonts w:ascii="Times New Roman" w:hAnsi="Times New Roman"/>
          <w:b w:val="false"/>
          <w:i w:val="false"/>
          <w:color w:val="000000"/>
          <w:sz w:val="24"/>
        </w:rPr>
        <w:t> </w:t>
      </w:r>
      <w:r>
        <w:rPr>
          <w:rFonts w:ascii="Times New Roman" w:hAnsi="Times New Roman"/>
          <w:b w:val="false"/>
          <w:i w:val="false"/>
          <w:color w:val="000000"/>
          <w:sz w:val="24"/>
        </w:rPr>
        <w:t xml:space="preserve">Approval of a compromise settlement pursuant to Iowa Code section </w:t>
      </w:r>
      <w:hyperlink r:id="rId12">
        <w:r>
          <w:rPr>
            <w:rStyle w:val="Hyperlink"/>
            <w:rFonts w:ascii="Times New Roman" w:hAnsi="Times New Roman"/>
            <w:b w:val="false"/>
            <w:i w:val="false"/>
            <w:color w:val="000000"/>
            <w:sz w:val="24"/>
          </w:rPr>
          <w:t>85.35(3)</w:t>
        </w:r>
      </w:hyperlink>
      <w:r>
        <w:rPr>
          <w:rFonts w:ascii="Times New Roman" w:hAnsi="Times New Roman"/>
          <w:b w:val="false"/>
          <w:i w:val="false"/>
          <w:color w:val="000000"/>
          <w:sz w:val="24"/>
        </w:rPr>
        <w:t xml:space="preserve"> is a final bar to rights under the Iowa workers’ compensation law, and the approved compromise settlement is not subject to review under Iowa Code section </w:t>
      </w:r>
      <w:hyperlink r:id="rId13">
        <w:r>
          <w:rPr>
            <w:rStyle w:val="Hyperlink"/>
            <w:rFonts w:ascii="Times New Roman" w:hAnsi="Times New Roman"/>
            <w:b w:val="false"/>
            <w:i w:val="false"/>
            <w:color w:val="000000"/>
            <w:sz w:val="24"/>
          </w:rPr>
          <w:t>85.26(2)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6.1(4)</w:t>
      </w:r>
      <w:r>
        <w:rPr>
          <w:rFonts w:ascii="Times New Roman" w:hAnsi="Times New Roman"/>
          <w:b w:val="false"/>
          <w:i w:val="false"/>
          <w:color w:val="000000"/>
          <w:sz w:val="24"/>
        </w:rPr>
        <w:t> </w:t>
      </w:r>
      <w:r>
        <w:rPr>
          <w:rFonts w:ascii="Times New Roman" w:hAnsi="Times New Roman"/>
          <w:b w:val="false"/>
          <w:i w:val="false"/>
          <w:color w:val="000000"/>
          <w:sz w:val="24"/>
        </w:rPr>
        <w:t xml:space="preserve">Nothing in this rule shall prohibit the approval of settlements in other appropriate cases when allowed by Iowa Code section </w:t>
      </w:r>
      <w:hyperlink r:id="rId14">
        <w:r>
          <w:rPr>
            <w:rStyle w:val="Hyperlink"/>
            <w:rFonts w:ascii="Times New Roman" w:hAnsi="Times New Roman"/>
            <w:b w:val="false"/>
            <w:i w:val="false"/>
            <w:color w:val="000000"/>
            <w:sz w:val="24"/>
          </w:rPr>
          <w:t>85.35(7)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5">
        <w:r>
          <w:rPr>
            <w:rStyle w:val="Hyperlink"/>
            <w:rFonts w:ascii="Times New Roman" w:hAnsi="Times New Roman"/>
            <w:b w:val="false"/>
            <w:i w:val="false"/>
            <w:color w:val="000000"/>
            <w:sz w:val="24"/>
          </w:rPr>
          <w:t>85.35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876—6.2</w:t>
      </w:r>
      <w:r>
        <w:rPr>
          <w:rFonts w:ascii="Times New Roman" w:hAnsi="Times New Roman"/>
          <w:b/>
          <w:i w:val="false"/>
          <w:color w:val="000000"/>
          <w:sz w:val="24"/>
        </w:rPr>
        <w:t xml:space="preserve">(85,10A) </w:t>
      </w:r>
      <w:r>
        <w:rPr>
          <w:rFonts w:ascii="Times New Roman" w:hAnsi="Times New Roman"/>
          <w:b/>
          <w:i w:val="false"/>
          <w:color w:val="000000"/>
          <w:sz w:val="24"/>
        </w:rPr>
        <w:t xml:space="preserve">Commutation. </w:t>
      </w:r>
      <w:r>
        <w:rPr>
          <w:rFonts w:ascii="Times New Roman" w:hAnsi="Times New Roman"/>
          <w:b w:val="false"/>
          <w:i w:val="false"/>
          <w:color w:val="000000"/>
          <w:sz w:val="24"/>
        </w:rPr>
        <w:t>The following requirements must be met before a commutation will be considered or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w:t>
      </w:r>
      <w:r>
        <w:rPr>
          <w:rFonts w:ascii="Times New Roman" w:hAnsi="Times New Roman"/>
          <w:b w:val="false"/>
          <w:i w:val="false"/>
          <w:color w:val="000000"/>
          <w:sz w:val="24"/>
        </w:rPr>
        <w:t> </w:t>
      </w:r>
      <w:r>
        <w:rPr>
          <w:rFonts w:ascii="Times New Roman" w:hAnsi="Times New Roman"/>
          <w:b w:val="false"/>
          <w:i w:val="false"/>
          <w:color w:val="000000"/>
          <w:sz w:val="24"/>
        </w:rPr>
        <w:t>A first report of injury, an acknowledgment of compensability and an updated supplemental claim activity report must be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6.2(2)</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commutation forms provided for in rule </w:t>
      </w:r>
      <w:hyperlink r:id="rId16">
        <w:r>
          <w:rPr>
            <w:rStyle w:val="Hyperlink"/>
            <w:rFonts w:ascii="Times New Roman" w:hAnsi="Times New Roman"/>
            <w:b w:val="false"/>
            <w:i w:val="false"/>
            <w:color w:val="000000"/>
            <w:sz w:val="24"/>
          </w:rPr>
          <w:t>876—6.4(85,10A)</w:t>
        </w:r>
      </w:hyperlink>
      <w:r>
        <w:rPr>
          <w:rFonts w:ascii="Times New Roman" w:hAnsi="Times New Roman"/>
          <w:b w:val="false"/>
          <w:i w:val="false"/>
          <w:color w:val="000000"/>
          <w:sz w:val="24"/>
        </w:rPr>
        <w:t xml:space="preserve"> must be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6.2(3)</w:t>
      </w:r>
      <w:r>
        <w:rPr>
          <w:rFonts w:ascii="Times New Roman" w:hAnsi="Times New Roman"/>
          <w:b w:val="false"/>
          <w:i w:val="false"/>
          <w:color w:val="000000"/>
          <w:sz w:val="24"/>
        </w:rPr>
        <w:t> </w:t>
      </w:r>
      <w:r>
        <w:rPr>
          <w:rFonts w:ascii="Times New Roman" w:hAnsi="Times New Roman"/>
          <w:b w:val="false"/>
          <w:i w:val="false"/>
          <w:color w:val="000000"/>
          <w:sz w:val="24"/>
        </w:rPr>
        <w:t>All doctors’ and practitioners’ reports relevant to the disability of the claimant involved in the commutation must be attached to the commutation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w:t>
      </w:r>
      <w:r>
        <w:rPr>
          <w:rFonts w:ascii="Times New Roman" w:hAnsi="Times New Roman"/>
          <w:b w:val="false"/>
          <w:i w:val="false"/>
          <w:color w:val="000000"/>
          <w:sz w:val="24"/>
        </w:rPr>
        <w:t> </w:t>
      </w:r>
      <w:r>
        <w:rPr>
          <w:rFonts w:ascii="Times New Roman" w:hAnsi="Times New Roman"/>
          <w:b w:val="false"/>
          <w:i w:val="false"/>
          <w:color w:val="000000"/>
          <w:sz w:val="24"/>
        </w:rPr>
        <w:t>Claimant’s condition as a result of the injury as shown by the medical reports cannot be one which will be expected to deteriorate. When a partial commutation is sought, this subrule shall diminish in importance.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6.2(5)</w:t>
      </w:r>
      <w:r>
        <w:rPr>
          <w:rFonts w:ascii="Times New Roman" w:hAnsi="Times New Roman"/>
          <w:b w:val="false"/>
          <w:i w:val="false"/>
          <w:color w:val="000000"/>
          <w:sz w:val="24"/>
        </w:rPr>
        <w:t> </w:t>
      </w:r>
      <w:r>
        <w:rPr>
          <w:rFonts w:ascii="Times New Roman" w:hAnsi="Times New Roman"/>
          <w:b w:val="false"/>
          <w:i w:val="false"/>
          <w:color w:val="000000"/>
          <w:sz w:val="24"/>
        </w:rPr>
        <w:t>Claimant’s condition as a result of the injury shown by the doctors’ and practitioners’ reports cannot be one that will be expected to require future treatment unless the future treatment is adequately provided for. When a partial commutation is sought, this subrule shall diminish in importance.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6.2(6)</w:t>
      </w:r>
      <w:r>
        <w:rPr>
          <w:rFonts w:ascii="Times New Roman" w:hAnsi="Times New Roman"/>
          <w:b w:val="false"/>
          <w:i w:val="false"/>
          <w:color w:val="000000"/>
          <w:sz w:val="24"/>
        </w:rPr>
        <w:t> </w:t>
      </w:r>
      <w:r>
        <w:rPr>
          <w:rFonts w:ascii="Times New Roman" w:hAnsi="Times New Roman"/>
          <w:b w:val="false"/>
          <w:i w:val="false"/>
          <w:color w:val="000000"/>
          <w:sz w:val="24"/>
        </w:rPr>
        <w:t>A detailed statement of claimant’s need or other reason for a lump sum of money must be attached to the application. The analysis shall include disclosure of any attorney fee and case expense amount to be paid from the full commutation. If all parties are represented by an attorney, the parties may waive the statement of need, unless the case involves a dependent who is a minor.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6.2(7)</w:t>
      </w:r>
      <w:r>
        <w:rPr>
          <w:rFonts w:ascii="Times New Roman" w:hAnsi="Times New Roman"/>
          <w:b w:val="false"/>
          <w:i w:val="false"/>
          <w:color w:val="000000"/>
          <w:sz w:val="24"/>
        </w:rPr>
        <w:t> </w:t>
      </w:r>
      <w:r>
        <w:rPr>
          <w:rFonts w:ascii="Times New Roman" w:hAnsi="Times New Roman"/>
          <w:b w:val="false"/>
          <w:i w:val="false"/>
          <w:color w:val="000000"/>
          <w:sz w:val="24"/>
        </w:rPr>
        <w:t>When multiple dependents are involved, a signed stipulation or order of apportionment identifying the proportion of benefits to be received by each dependent shall be attached to the commutation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6.2(8)</w:t>
      </w:r>
      <w:r>
        <w:rPr>
          <w:rFonts w:ascii="Times New Roman" w:hAnsi="Times New Roman"/>
          <w:b w:val="false"/>
          <w:i w:val="false"/>
          <w:color w:val="000000"/>
          <w:sz w:val="24"/>
        </w:rPr>
        <w:t> </w:t>
      </w:r>
      <w:r>
        <w:rPr>
          <w:rFonts w:ascii="Times New Roman" w:hAnsi="Times New Roman"/>
          <w:b w:val="false"/>
          <w:i w:val="false"/>
          <w:color w:val="000000"/>
          <w:sz w:val="24"/>
        </w:rPr>
        <w:t>A signed stipulation as to the degree of permanent disability shall be attached to the commutation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6.2(9)</w:t>
      </w:r>
      <w:r>
        <w:rPr>
          <w:rFonts w:ascii="Times New Roman" w:hAnsi="Times New Roman"/>
          <w:b w:val="false"/>
          <w:i w:val="false"/>
          <w:color w:val="000000"/>
          <w:sz w:val="24"/>
        </w:rPr>
        <w:t> </w:t>
      </w:r>
      <w:r>
        <w:rPr>
          <w:rFonts w:ascii="Times New Roman" w:hAnsi="Times New Roman"/>
          <w:b w:val="false"/>
          <w:i w:val="false"/>
          <w:color w:val="000000"/>
          <w:sz w:val="24"/>
        </w:rPr>
        <w:t>If all parties are represented by an attorney, a commutation of benefits is presumed to be in the best interests of the claimant.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6.2(10)</w:t>
      </w:r>
      <w:r>
        <w:rPr>
          <w:rFonts w:ascii="Times New Roman" w:hAnsi="Times New Roman"/>
          <w:b w:val="false"/>
          <w:i w:val="false"/>
          <w:color w:val="000000"/>
          <w:sz w:val="24"/>
        </w:rPr>
        <w:t> </w:t>
      </w:r>
      <w:r>
        <w:rPr>
          <w:rFonts w:ascii="Times New Roman" w:hAnsi="Times New Roman"/>
          <w:b w:val="false"/>
          <w:i w:val="false"/>
          <w:color w:val="000000"/>
          <w:sz w:val="24"/>
        </w:rPr>
        <w:t>If all parties are represented by an attorney, the parties may stipulate to the definitely determined period of compensation.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7">
        <w:r>
          <w:rPr>
            <w:rStyle w:val="Hyperlink"/>
            <w:rFonts w:ascii="Times New Roman" w:hAnsi="Times New Roman"/>
            <w:b w:val="false"/>
            <w:i w:val="false"/>
            <w:color w:val="000000"/>
            <w:sz w:val="24"/>
          </w:rPr>
          <w:t>85.45</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85.47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876—6.3</w:t>
      </w:r>
      <w:r>
        <w:rPr>
          <w:rFonts w:ascii="Times New Roman" w:hAnsi="Times New Roman"/>
          <w:b/>
          <w:i w:val="false"/>
          <w:color w:val="000000"/>
          <w:sz w:val="24"/>
        </w:rPr>
        <w:t xml:space="preserve">(85,10A) </w:t>
      </w:r>
      <w:r>
        <w:rPr>
          <w:rFonts w:ascii="Times New Roman" w:hAnsi="Times New Roman"/>
          <w:b/>
          <w:i w:val="false"/>
          <w:color w:val="000000"/>
          <w:sz w:val="24"/>
        </w:rPr>
        <w:t xml:space="preserve">Commutation tables. </w:t>
      </w:r>
      <w:r>
        <w:rPr>
          <w:rFonts w:ascii="Times New Roman" w:hAnsi="Times New Roman"/>
          <w:b w:val="false"/>
          <w:i w:val="false"/>
          <w:color w:val="000000"/>
          <w:sz w:val="24"/>
        </w:rPr>
        <w:t xml:space="preserve">The following tables are to be used in determining the sum to be paid in appropriate commutation proceedings. Nothing in this rule is to prevent waiver of the discount in subrule </w:t>
      </w:r>
      <w:hyperlink r:id="rId19">
        <w:r>
          <w:rPr>
            <w:rStyle w:val="Hyperlink"/>
            <w:rFonts w:ascii="Times New Roman" w:hAnsi="Times New Roman"/>
            <w:b w:val="false"/>
            <w:i w:val="false"/>
            <w:color w:val="000000"/>
            <w:sz w:val="24"/>
          </w:rPr>
          <w:t>6.3(2)</w:t>
        </w:r>
      </w:hyperlink>
      <w:r>
        <w:rPr>
          <w:rFonts w:ascii="Times New Roman" w:hAnsi="Times New Roman"/>
          <w:b w:val="false"/>
          <w:i w:val="false"/>
          <w:color w:val="000000"/>
          <w:sz w:val="24"/>
        </w:rPr>
        <w:t xml:space="preserve"> by the employer or insurance carrier.</w:t>
      </w:r>
    </w:p>
    <w:p>
      <w:pPr>
        <w:spacing w:before="0" w:after="0" w:line="480"/>
        <w:ind w:left="120"/>
        <w:jc w:val="both"/>
      </w:pPr>
      <w:r>
        <w:rPr>
          <w:rFonts w:ascii="Times New Roman" w:hAnsi="Times New Roman"/>
          <w:b/>
          <w:i w:val="false"/>
          <w:color w:val="000000"/>
          <w:sz w:val="24"/>
        </w:rPr>
        <w:t>6.3(1)</w:t>
      </w:r>
      <w:r>
        <w:rPr>
          <w:rFonts w:ascii="Times New Roman" w:hAnsi="Times New Roman"/>
          <w:b w:val="false"/>
          <w:i w:val="false"/>
          <w:color w:val="000000"/>
          <w:sz w:val="24"/>
        </w:rPr>
        <w:t> </w:t>
      </w:r>
      <w:r>
        <w:rPr>
          <w:rFonts w:ascii="Times New Roman" w:hAnsi="Times New Roman"/>
          <w:b w:val="false"/>
          <w:i/>
          <w:color w:val="000000"/>
          <w:sz w:val="24"/>
        </w:rPr>
        <w:t xml:space="preserve">Life expectancy table. </w:t>
      </w:r>
      <w:r>
        <w:rPr>
          <w:rFonts w:ascii="Times New Roman" w:hAnsi="Times New Roman"/>
          <w:b w:val="false"/>
          <w:i w:val="false"/>
          <w:color w:val="000000"/>
          <w:sz w:val="24"/>
        </w:rPr>
        <w:t>The life expectancy is determined by taking the age of the person, set forth in the “age” column and comparing it to the “weeks” column, which indicates the weeks an individual at the age indicated will be expected to continue to live.</w:t>
      </w:r>
    </w:p>
    <w:p>
      <w:pPr>
        <w:spacing w:before="60" w:after="0" w:line="480"/>
        <w:ind w:left="120"/>
        <w:jc w:val="center"/>
      </w:pPr>
      <w:r>
        <w:rPr>
          <w:rFonts w:ascii="Times New Roman" w:hAnsi="Times New Roman"/>
          <w:b w:val="false"/>
          <w:i w:val="false"/>
          <w:color w:val="000000"/>
          <w:sz w:val="24"/>
        </w:rPr>
        <w:t>LIFE EXPECTANCY TABLE</w:t>
      </w:r>
    </w:p>
    <w:tbl>
      <w:tblPr>
        <w:tblW w:w="0" w:type="auto"/>
        <w:tblCellSpacing w:w="0" w:type="auto"/>
        <w:tblBorders>
          <w:top w:val="none"/>
          <w:left w:val="none"/>
          <w:bottom w:val="none"/>
          <w:right w:val="none"/>
          <w:insideH w:val="none"/>
          <w:insideV w:val="none"/>
        </w:tblBorders>
        <w:tblLayout w:type="fixed"/>
      </w:tblPr>
      <w:tblGrid>
        <w:gridCol w:w="1878"/>
        <w:gridCol w:w="1878"/>
        <w:gridCol w:w="1877"/>
        <w:gridCol w:w="1877"/>
        <w:gridCol w:w="1877"/>
        <w:gridCol w:w="1877"/>
      </w:tblGrid>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WEEKS</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WEEKS</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WEEKS</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4020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34-35</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2335</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68-69</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832</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3994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35-36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2288</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69-70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801</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3942</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36-37</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2236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70-71</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764</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3-4</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3895</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37-38</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2189</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71-72</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728</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3843</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38-39</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2142</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72-73</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697</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5-6</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3791</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39-40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2090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73-74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666</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6-7</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3739</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40-41</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2044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74-75</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629</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7-8</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3687</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41-42</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1997</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75-76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598</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8-9</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3635</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42-43</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1950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76-77</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572</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9-10</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3583</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43-44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1903</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77-78</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541</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10-11</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3531</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44-45</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1856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78-79</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510</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11-12</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3484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45-46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1810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79-80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484</w:t>
            </w:r>
          </w:p>
        </w:tc>
      </w:tr>
      <w:tr>
        <w:trPr>
          <w:trHeight w:val="21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12-13</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3432</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46-47</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1763</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80-81</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458</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13-14</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3380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47-48</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1716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81-82</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432</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14-15</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3328</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48-49</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1669</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82-83</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406</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15-16</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3276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49-50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1622</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83-84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385</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16-17</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3224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50-51</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1576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84-85</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359</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17-18</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3177</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51-52</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1534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85-86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338</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18-19</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3125</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52-53</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1487</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86-87</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317</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19-20</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3078</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53-54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1446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87-88</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302</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20-21</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3026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54-55</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1399</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88-89</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281</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21-22</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2980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55-56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1357</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89-90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265</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22-23</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2928</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56-57</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1310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90-91</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250</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23-24</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2881</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57-58</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1269</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91-92</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234</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24-25</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2829</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58-59</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1227</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92-93</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224</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25-26</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2782</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59-60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1186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93-94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208</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26-27</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2730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60-61</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1144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94-95</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198</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27-28</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2683</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61-62</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1102</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95-96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187</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28-29</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2631</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62-63</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1061</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96-97</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177</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29-30</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2584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63-64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1024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97-98</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166</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30-31</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2532</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64-65</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983</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98-99</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156</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31-32</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2486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65-66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946</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99-100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151</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32-33</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2434</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66-67</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910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140</w:t>
            </w:r>
          </w:p>
        </w:tc>
      </w:tr>
      <w:tr>
        <w:trPr>
          <w:trHeight w:val="180" w:hRule="atLeast"/>
        </w:trPr>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33-34</w:t>
            </w:r>
          </w:p>
        </w:tc>
        <w:tc>
          <w:tcPr>
            <w:tcW w:w="187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2387</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67-68</w:t>
            </w:r>
          </w:p>
        </w:tc>
        <w:tc>
          <w:tcPr>
            <w:tcW w:w="1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868</w:t>
            </w:r>
          </w:p>
        </w:tc>
        <w:tc>
          <w:tcPr>
            <w:tcW w:w="187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7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w:t>
      </w:r>
      <w:r>
        <w:rPr>
          <w:rFonts w:ascii="Times New Roman" w:hAnsi="Times New Roman"/>
          <w:b w:val="false"/>
          <w:i w:val="false"/>
          <w:color w:val="000000"/>
          <w:sz w:val="24"/>
        </w:rPr>
        <w:t> </w:t>
      </w:r>
      <w:r>
        <w:rPr>
          <w:rFonts w:ascii="Times New Roman" w:hAnsi="Times New Roman"/>
          <w:b w:val="false"/>
          <w:i/>
          <w:color w:val="000000"/>
          <w:sz w:val="24"/>
        </w:rPr>
        <w:t xml:space="preserve">Discount. </w:t>
      </w:r>
      <w:r>
        <w:rPr>
          <w:rFonts w:ascii="Times New Roman" w:hAnsi="Times New Roman"/>
          <w:b w:val="false"/>
          <w:i w:val="false"/>
          <w:color w:val="000000"/>
          <w:sz w:val="24"/>
        </w:rPr>
        <w:t xml:space="preserve">When an original notice and petition for commutation of remaining future weekly benefits, either full or partial, is filed, the remaining future weekly benefits may be commuted to present dollar value. If the remaining future weekly benefits are converted to a present dollar value, the present dollar value shall be determined as provided in this subrule. A discount will be used to convert the value of remaining future weekly benefits to present dollar value. The discount will be based on a compound interest rate calculated pursuant to Iowa Code section </w:t>
      </w:r>
      <w:hyperlink r:id="rId20">
        <w:r>
          <w:rPr>
            <w:rStyle w:val="Hyperlink"/>
            <w:rFonts w:ascii="Times New Roman" w:hAnsi="Times New Roman"/>
            <w:b w:val="false"/>
            <w:i w:val="false"/>
            <w:color w:val="000000"/>
            <w:sz w:val="24"/>
          </w:rPr>
          <w:t>668.13(3)</w:t>
        </w:r>
      </w:hyperlink>
      <w:r>
        <w:rPr>
          <w:rFonts w:ascii="Times New Roman" w:hAnsi="Times New Roman"/>
          <w:b w:val="false"/>
          <w:i w:val="false"/>
          <w:color w:val="000000"/>
          <w:sz w:val="24"/>
        </w:rPr>
        <w:t xml:space="preserve"> and in effect on the date informal agreement between the parties is reached for commutation and the number of weeks of remaining future benefits. The interest rate used to determine the discount shall be specified on the original notice and petition for commutation filed for approval by the workers’ compensation commissioner.</w:t>
      </w:r>
    </w:p>
    <w:p>
      <w:pPr>
        <w:spacing w:before="0" w:after="0" w:line="480"/>
        <w:ind w:left="120"/>
        <w:jc w:val="both"/>
      </w:pPr>
      <w:r>
        <w:rPr>
          <w:rFonts w:ascii="Times New Roman" w:hAnsi="Times New Roman"/>
          <w:b/>
          <w:i w:val="false"/>
          <w:color w:val="000000"/>
          <w:sz w:val="24"/>
        </w:rPr>
        <w:t>6.3(3)</w:t>
      </w:r>
      <w:r>
        <w:rPr>
          <w:rFonts w:ascii="Times New Roman" w:hAnsi="Times New Roman"/>
          <w:b w:val="false"/>
          <w:i w:val="false"/>
          <w:color w:val="000000"/>
          <w:sz w:val="24"/>
        </w:rPr>
        <w:t> </w:t>
      </w:r>
      <w:r>
        <w:rPr>
          <w:rFonts w:ascii="Times New Roman" w:hAnsi="Times New Roman"/>
          <w:b w:val="false"/>
          <w:i/>
          <w:color w:val="000000"/>
          <w:sz w:val="24"/>
        </w:rPr>
        <w:t xml:space="preserve">Life expectancy and remarriage probability table. </w:t>
      </w:r>
      <w:r>
        <w:rPr>
          <w:rFonts w:ascii="Times New Roman" w:hAnsi="Times New Roman"/>
          <w:b w:val="false"/>
          <w:i w:val="false"/>
          <w:color w:val="000000"/>
          <w:sz w:val="24"/>
        </w:rPr>
        <w:t>This table expresses in weeks the combined probability of life expectancy and remarriage. The column on the left indicates the age of the surviving spouse at the time of the work-related death. Columns A through E indicate, respectively, the first through fifth years following the date of death that the surviving spouse remains unmarried. For example, if the date of death was July 1, 2005, and the surviving spouse was age 20 at the time of the decedent’s death, a commutation sought on the second anniversary of the death, July 2, 2007, would result in an expected duration of 550.02 weeks, the amount found in Column B which indicates the second year of unmarried status following age 20. Following the second anniversary of the date of death and including the third anniversary, Table C would be applicable. Begin in the left-hand column in the line indicating the age at date of death—not the age at which a commutation is sought. Then move to the column that is indicative of the number of years the surviving spouse has remained unmarried.</w:t>
      </w:r>
    </w:p>
    <w:p>
      <w:pPr>
        <w:spacing w:before="0" w:after="0" w:line="480"/>
        <w:ind w:left="120"/>
        <w:jc w:val="both"/>
      </w:pPr>
      <w:r>
        <w:rPr>
          <w:rFonts w:ascii="Times New Roman" w:hAnsi="Times New Roman"/>
          <w:b w:val="false"/>
          <w:i w:val="false"/>
          <w:color w:val="000000"/>
          <w:sz w:val="24"/>
        </w:rPr>
        <w:t>A surviving spouse, 20 years old on the date of the decedent’s death who seeks a commutation after the fifth anniversary of the date of death, would use Table F. The fact that the surviving spouse has remained unmarried for over five years negates use of Columns A through E. A commutation sought during the fifth year of remaining unmarried would result in an expected duration of 1031.64 weeks. For example, if the surviving spouse, who was 20 years old on the date of the decedent’s death, is 30 years old at the time a commutation is sought and seeks a commutation after the tenth anniversary of the date of death, start in Column F in line 20 at the age column. For each year beyond the sixth anniversary of the death, move down Column F one line for each year. [Note the left-hand age column plays no part at this point.] In this example, the 30-year-old surviving spouse who seeks a commutation after the tenth anniversary of the date of death would have an expected duration of 1247.07 weeks.</w:t>
      </w:r>
    </w:p>
    <w:p>
      <w:pPr>
        <w:spacing w:before="60" w:after="0" w:line="480"/>
        <w:ind w:left="120"/>
        <w:jc w:val="center"/>
      </w:pPr>
      <w:r>
        <w:rPr>
          <w:rFonts w:ascii="Times New Roman" w:hAnsi="Times New Roman"/>
          <w:b w:val="false"/>
          <w:i w:val="false"/>
          <w:color w:val="000000"/>
          <w:sz w:val="24"/>
        </w:rPr>
        <w:t>EXPECTED DURATION OF LIFE AND REMARRIAGE IN WEEKS</w:t>
      </w:r>
    </w:p>
    <w:tbl>
      <w:tblPr>
        <w:tblW w:w="0" w:type="auto"/>
        <w:tblCellSpacing w:w="0" w:type="auto"/>
        <w:tblBorders>
          <w:top w:val="none"/>
          <w:left w:val="none"/>
          <w:bottom w:val="none"/>
          <w:right w:val="none"/>
          <w:insideH w:val="none"/>
          <w:insideV w:val="none"/>
        </w:tblBorders>
        <w:tblLayout w:type="fixed"/>
      </w:tblPr>
      <w:tblGrid>
        <w:gridCol w:w="1356"/>
        <w:gridCol w:w="1544"/>
        <w:gridCol w:w="1566"/>
        <w:gridCol w:w="1700"/>
        <w:gridCol w:w="1700"/>
        <w:gridCol w:w="1699"/>
        <w:gridCol w:w="1699"/>
      </w:tblGrid>
      <w:tr>
        <w:trPr>
          <w:trHeight w:val="180" w:hRule="atLeast"/>
        </w:trPr>
        <w:tc>
          <w:tcPr>
            <w:tcW w:w="135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w:t>
            </w:r>
          </w:p>
        </w:tc>
        <w:tc>
          <w:tcPr>
            <w:tcW w:w="154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w:t>
            </w:r>
          </w:p>
        </w:tc>
        <w:tc>
          <w:tcPr>
            <w:tcW w:w="156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w:t>
            </w:r>
          </w:p>
        </w:tc>
        <w:tc>
          <w:tcPr>
            <w:tcW w:w="17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w:t>
            </w:r>
          </w:p>
        </w:tc>
        <w:tc>
          <w:tcPr>
            <w:tcW w:w="17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w:t>
            </w:r>
          </w:p>
        </w:tc>
        <w:tc>
          <w:tcPr>
            <w:tcW w:w="1699"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w:t>
            </w:r>
          </w:p>
        </w:tc>
        <w:tc>
          <w:tcPr>
            <w:tcW w:w="1699"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19</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452.18</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505.55</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640.75</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788.27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905.44</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993.12</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20</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495.82</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550.02</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683.69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828.42</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943.01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1031.64</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21</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541.23</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596.18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729.80</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868.87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982.17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1071.64</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22</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589.23</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646.05</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776.66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911.67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1023.48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1115.36</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23</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640.88</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696.92</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825.34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956.43</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1068.72</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1157.99</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24</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693.76</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749.90</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875.77</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1005.20</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1113.34</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1200.77</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25</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748.61</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804.49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929.45</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1053.51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1158.36</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1247.07</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26</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804.72</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861.90</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982.20</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1102.07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1206.94</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1290.45</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27</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863.24</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917.91</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1034.48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1153.43</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1252.42</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1332.79</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28</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919.92</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972.96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1089.02</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1201.54</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1296.56</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1376.65</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29</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975.76</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1029.70</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1140.04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1248.06</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1342.09</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1415.27</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30</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1034.13</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1083.96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1190.18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1296.47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1382.06</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1450.83</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31</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1087.87</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1135.18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1239.43</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1337.76</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1419.17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1482.26</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32</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1140.84</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1187.76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1283.95</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1376.65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1452.19</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1514.63</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33</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1195.00</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1235.69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1325.54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1411.36</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1486.03</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1539.38</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34</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1244.19</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1281.06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1363.39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1447.25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1512.62</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1560.28</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35</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1290.62</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1322.51</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1402.06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1475.89</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1535.47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1577.36</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36</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1333.45</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1365.12</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1433.98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1501.08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1554.46</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1590.73</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37</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1377.93</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1401.32</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1462.76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1522.96</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1570.28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1595.37</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38</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1414.42</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1432.95</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1486.92</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1540.28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1575.74</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1600.95</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39</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1447.51</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1460.93</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1507.65</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1548.65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1583.08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1603.12</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40</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1476.55</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1484.88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1519.19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1558.50</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1586.74</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1601.68</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41</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1501.23</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1499.62</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1531.97</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1564.58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1586.80</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1590.32</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42</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1517.04</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1515.76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1541.35</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1567.27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1577.19</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1581.72</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43</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1533.81</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1528.55</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1547.54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1560.49</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1570.28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1564.36</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44</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1546.84</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1537.33</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1543.96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1556.10</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1554.65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1543.01</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45</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1556.54</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1537.28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1543.60</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1543.67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1534.98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1519.60</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46</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1555.21</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1538.43</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1533.33</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1526.06</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1512.93</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1499.07</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47</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1556.30</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1530.44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1518.64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1506.46</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1493.84</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1463.67</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48</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1547.08</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1517.04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1500.92</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1489.22</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1459.61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1432.74</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49</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1532.42</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1499.98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1484.71</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1456.21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1429.75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1399.10</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50</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1514.59</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1485.36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1453.56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1427.91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1396.88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1364.95</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51</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1496.96</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1453.45</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1424.86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1395.28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1363.33</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1322.96</w:t>
            </w:r>
          </w:p>
        </w:tc>
      </w:tr>
      <w:tr>
        <w:trPr>
          <w:trHeight w:val="21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52</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1464.50</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1426.08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1393.79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1362.79</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1321.79</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1286.44</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53</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1433.32</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1393.23</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1359.71</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1320.40</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1285.68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1242.63</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54</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1401.59</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1361.60</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1319.99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1285.81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1242.14</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1199.73</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55</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1367.01</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1320.16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1283.74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1241.95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1199.37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1155.90</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56</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1324.97</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1284.38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1240.69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1199.62</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1155.55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1111.53</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57</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1286.93</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1239.69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1196.89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1154.69</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1110.98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1070.85</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58</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1243.31</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1197.46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1153.84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1111.07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1070.21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1025.48</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59</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1200.31</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1153.99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1109.49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1069.88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1024.57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986.90</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60</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1156.15</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1109.74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1069.03</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1024.18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985.85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944.55</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61</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1111.72</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1069.39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1023.90</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985.32</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943.26</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902.07</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62</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1052.14</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1009.56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976.00</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938.77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899.17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866.59</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63</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1010.13</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974.17</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936.60</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898.84</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866.01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822.92</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64</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975.20</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935.34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897.28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866.19</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822.35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786.37</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65</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935.81</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895.62</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864.23</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822.48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785.91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752.62</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66</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896.90</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863.56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821.55</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786.69</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752.25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713.35</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67</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864.14</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820.43</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785.30</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752.93</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712.94</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681.47</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68</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821.01</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784.34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751.79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713.70</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681.08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645.13</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69</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784.83</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750.98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712.72</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681.88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644.76</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610.80</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70</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751.92</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712.57</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681.58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646.12</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610.45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578.30</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71</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712.75</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680.79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645.24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611.61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577.91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547.80</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72</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681.26</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644.91</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611.27</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579.40</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547.43</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513.50</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73</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645.03</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610.64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578.74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548.89</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513.25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486.97</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74</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610.85</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578.30</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548.43</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514.74</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486.74</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455.68</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75</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578.57</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548.13</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514.38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488.35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455.51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428.23</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76</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548.68</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514.51</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488.51</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457.72</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428.11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397.70</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77</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514.31</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487.93</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457.11</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430.12</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397.62</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374.66</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78</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487.92</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456.77</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429.75</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411.41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374.60</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348.88</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79</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457.82</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430.58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400.47</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377.94</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348.85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324.95</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80</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428.23</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397.79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375.01</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349.47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324.92</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298.01</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81</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400.21</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377.46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352.11</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328.63</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298.01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286.57</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82</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376.27</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350.69</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327.08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300.46</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286.57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271.47</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83</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350.54</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326.80</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300.18</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289.12</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271.47</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259.15</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84</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326.67</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299.90</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288.84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274.06</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259.15</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249.81</w:t>
            </w:r>
          </w:p>
        </w:tc>
      </w:tr>
      <w:tr>
        <w:trPr>
          <w:trHeight w:val="180" w:hRule="atLeast"/>
        </w:trPr>
        <w:tc>
          <w:tcPr>
            <w:tcW w:w="135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85</w:t>
            </w:r>
          </w:p>
        </w:tc>
        <w:tc>
          <w:tcPr>
            <w:tcW w:w="154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299.74</w:t>
            </w:r>
          </w:p>
        </w:tc>
        <w:tc>
          <w:tcPr>
            <w:tcW w:w="156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288.56</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273.74</w:t>
            </w:r>
          </w:p>
        </w:tc>
        <w:tc>
          <w:tcPr>
            <w:tcW w:w="1700"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261.78</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249.81</w:t>
            </w:r>
          </w:p>
        </w:tc>
        <w:tc>
          <w:tcPr>
            <w:tcW w:w="1699"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249.60</w:t>
            </w:r>
          </w:p>
        </w:tc>
      </w:tr>
    </w:tbl>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1">
        <w:r>
          <w:rPr>
            <w:rStyle w:val="Hyperlink"/>
            <w:rFonts w:ascii="Times New Roman" w:hAnsi="Times New Roman"/>
            <w:b w:val="false"/>
            <w:i w:val="false"/>
            <w:color w:val="000000"/>
            <w:sz w:val="24"/>
          </w:rPr>
          <w:t>85.45</w:t>
        </w:r>
      </w:hyperlink>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85.47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876—6.4</w:t>
      </w:r>
      <w:r>
        <w:rPr>
          <w:rFonts w:ascii="Times New Roman" w:hAnsi="Times New Roman"/>
          <w:b/>
          <w:i w:val="false"/>
          <w:color w:val="000000"/>
          <w:sz w:val="24"/>
        </w:rPr>
        <w:t xml:space="preserve">(85,10A) </w:t>
      </w:r>
      <w:r>
        <w:rPr>
          <w:rFonts w:ascii="Times New Roman" w:hAnsi="Times New Roman"/>
          <w:b/>
          <w:i w:val="false"/>
          <w:color w:val="000000"/>
          <w:sz w:val="24"/>
        </w:rPr>
        <w:t xml:space="preserve">Forms for commutation. </w:t>
      </w:r>
      <w:r>
        <w:rPr>
          <w:rFonts w:ascii="Times New Roman" w:hAnsi="Times New Roman"/>
          <w:b w:val="false"/>
          <w:i w:val="false"/>
          <w:color w:val="000000"/>
          <w:sz w:val="24"/>
        </w:rPr>
        <w:t xml:space="preserve">Form No. 200 shall be used for a full commutation. Form No. 201 shall be used for a partial commutation. Descriptions of these forms can be found in </w:t>
      </w:r>
      <w:hyperlink r:id="rId23">
        <w:r>
          <w:rPr>
            <w:rStyle w:val="Hyperlink"/>
            <w:rFonts w:ascii="Times New Roman" w:hAnsi="Times New Roman"/>
            <w:b w:val="false"/>
            <w:i w:val="false"/>
            <w:color w:val="000000"/>
            <w:sz w:val="24"/>
          </w:rPr>
          <w:t>876—Chapter 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4">
        <w:r>
          <w:rPr>
            <w:rStyle w:val="Hyperlink"/>
            <w:rFonts w:ascii="Times New Roman" w:hAnsi="Times New Roman"/>
            <w:b w:val="false"/>
            <w:i w:val="false"/>
            <w:color w:val="000000"/>
            <w:sz w:val="24"/>
          </w:rPr>
          <w:t>85.45</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85.47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876—6.5</w:t>
      </w:r>
      <w:r>
        <w:rPr>
          <w:rFonts w:ascii="Times New Roman" w:hAnsi="Times New Roman"/>
          <w:b/>
          <w:i w:val="false"/>
          <w:color w:val="000000"/>
          <w:sz w:val="24"/>
        </w:rPr>
        <w:t xml:space="preserve">(85) </w:t>
      </w:r>
      <w:r>
        <w:rPr>
          <w:rFonts w:ascii="Times New Roman" w:hAnsi="Times New Roman"/>
          <w:b/>
          <w:i w:val="false"/>
          <w:color w:val="000000"/>
          <w:sz w:val="24"/>
        </w:rPr>
        <w:t xml:space="preserve">Statement of awareness. </w:t>
      </w:r>
      <w:r>
        <w:rPr>
          <w:rFonts w:ascii="Times New Roman" w:hAnsi="Times New Roman"/>
          <w:b w:val="false"/>
          <w:i w:val="false"/>
          <w:color w:val="000000"/>
          <w:sz w:val="24"/>
        </w:rPr>
        <w:t xml:space="preserve">When a petition for settlement under Iowa Code section </w:t>
      </w:r>
      <w:hyperlink r:id="rId26">
        <w:r>
          <w:rPr>
            <w:rStyle w:val="Hyperlink"/>
            <w:rFonts w:ascii="Times New Roman" w:hAnsi="Times New Roman"/>
            <w:b w:val="false"/>
            <w:i w:val="false"/>
            <w:color w:val="000000"/>
            <w:sz w:val="24"/>
          </w:rPr>
          <w:t>85.35(3)</w:t>
        </w:r>
      </w:hyperlink>
      <w:r>
        <w:rPr>
          <w:rFonts w:ascii="Times New Roman" w:hAnsi="Times New Roman"/>
          <w:b w:val="false"/>
          <w:i w:val="false"/>
          <w:color w:val="000000"/>
          <w:sz w:val="24"/>
        </w:rPr>
        <w:t xml:space="preserve"> or commutation is submitted, it shall contain or be accompanied by a verified statement from the injured employee indicating awareness that, upon approval by the workers’ compensation commissioner of the settlement or commutation, a final bar to future claims or benefits under the Iowa workers’ compensation law for such injury shall exist except as specifically reserved in any agreement.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7">
        <w:r>
          <w:rPr>
            <w:rStyle w:val="Hyperlink"/>
            <w:rFonts w:ascii="Times New Roman" w:hAnsi="Times New Roman"/>
            <w:b w:val="false"/>
            <w:i w:val="false"/>
            <w:color w:val="000000"/>
            <w:sz w:val="24"/>
          </w:rPr>
          <w:t>85.35</w:t>
        </w:r>
      </w:hyperlink>
      <w:r>
        <w:rPr>
          <w:rFonts w:ascii="Times New Roman" w:hAnsi="Times New Roman"/>
          <w:b w:val="false"/>
          <w:i w:val="false"/>
          <w:color w:val="000000"/>
          <w:sz w:val="24"/>
        </w:rPr>
        <w:t>, </w:t>
      </w:r>
      <w:hyperlink r:id="rId28">
        <w:r>
          <w:rPr>
            <w:rStyle w:val="Hyperlink"/>
            <w:rFonts w:ascii="Times New Roman" w:hAnsi="Times New Roman"/>
            <w:b w:val="false"/>
            <w:i w:val="false"/>
            <w:color w:val="000000"/>
            <w:sz w:val="24"/>
          </w:rPr>
          <w:t>85.45</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85.47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876—6.6</w:t>
      </w:r>
      <w:r>
        <w:rPr>
          <w:rFonts w:ascii="Times New Roman" w:hAnsi="Times New Roman"/>
          <w:b/>
          <w:i w:val="false"/>
          <w:color w:val="000000"/>
          <w:sz w:val="24"/>
        </w:rPr>
        <w:t xml:space="preserve">(10A) </w:t>
      </w:r>
      <w:r>
        <w:rPr>
          <w:rFonts w:ascii="Times New Roman" w:hAnsi="Times New Roman"/>
          <w:b/>
          <w:i w:val="false"/>
          <w:color w:val="000000"/>
          <w:sz w:val="24"/>
        </w:rPr>
        <w:t xml:space="preserve">Twenty-page limitation. </w:t>
      </w:r>
      <w:r>
        <w:rPr>
          <w:rFonts w:ascii="Times New Roman" w:hAnsi="Times New Roman"/>
          <w:b w:val="false"/>
          <w:i w:val="false"/>
          <w:color w:val="000000"/>
          <w:sz w:val="24"/>
        </w:rPr>
        <w:t>Unless otherwise ordered by the workers’ compensation commissioner or deputy workers’ compensation commissioner, an application for approval of a settlement or an original notice and petition for approval of a commutation or partial commutation shall not be accepted for filing if accompanied by documentation in excess of 20 pages. An order approving a settlement or an original notice and petition for commutation or partial commutation accompanied by documentary evidence in excess of 20 pages is nevertheless valid, and is neither void nor voidable.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0">
        <w:r>
          <w:rPr>
            <w:rStyle w:val="Hyperlink"/>
            <w:rFonts w:ascii="Times New Roman" w:hAnsi="Times New Roman"/>
            <w:b w:val="false"/>
            <w:i w:val="false"/>
            <w:color w:val="000000"/>
            <w:sz w:val="24"/>
          </w:rPr>
          <w:t>85.35</w:t>
        </w:r>
      </w:hyperlink>
      <w:r>
        <w:rPr>
          <w:rFonts w:ascii="Times New Roman" w:hAnsi="Times New Roman"/>
          <w:b w:val="false"/>
          <w:i w:val="false"/>
          <w:color w:val="000000"/>
          <w:sz w:val="24"/>
        </w:rPr>
        <w:t xml:space="preserve">, </w:t>
      </w:r>
      <w:hyperlink r:id="rId31">
        <w:r>
          <w:rPr>
            <w:rStyle w:val="Hyperlink"/>
            <w:rFonts w:ascii="Times New Roman" w:hAnsi="Times New Roman"/>
            <w:b w:val="false"/>
            <w:i w:val="false"/>
            <w:color w:val="000000"/>
            <w:sz w:val="24"/>
          </w:rPr>
          <w:t>85.47</w:t>
        </w:r>
      </w:hyperlink>
      <w:r>
        <w:rPr>
          <w:rFonts w:ascii="Times New Roman" w:hAnsi="Times New Roman"/>
          <w:b w:val="false"/>
          <w:i w:val="false"/>
          <w:color w:val="000000"/>
          <w:sz w:val="24"/>
        </w:rPr>
        <w:t xml:space="preserve">, </w:t>
      </w:r>
      <w:hyperlink r:id="rId32">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 xml:space="preserve"> and </w:t>
      </w:r>
      <w:hyperlink r:id="rId33">
        <w:r>
          <w:rPr>
            <w:rStyle w:val="Hyperlink"/>
            <w:rFonts w:ascii="Times New Roman" w:hAnsi="Times New Roman"/>
            <w:b w:val="false"/>
            <w:i w:val="false"/>
            <w:color w:val="000000"/>
            <w:sz w:val="24"/>
          </w:rPr>
          <w:t>10A.323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876—6.7</w:t>
      </w:r>
      <w:r>
        <w:rPr>
          <w:rFonts w:ascii="Times New Roman" w:hAnsi="Times New Roman"/>
          <w:b/>
          <w:i w:val="false"/>
          <w:color w:val="000000"/>
          <w:sz w:val="24"/>
        </w:rPr>
        <w:t xml:space="preserve">(85,10A) </w:t>
      </w:r>
      <w:r>
        <w:rPr>
          <w:rFonts w:ascii="Times New Roman" w:hAnsi="Times New Roman"/>
          <w:b/>
          <w:i w:val="false"/>
          <w:color w:val="000000"/>
          <w:sz w:val="24"/>
        </w:rPr>
        <w:t xml:space="preserve">Claimant statement. </w:t>
      </w:r>
      <w:r>
        <w:rPr>
          <w:rFonts w:ascii="Times New Roman" w:hAnsi="Times New Roman"/>
          <w:b w:val="false"/>
          <w:i w:val="false"/>
          <w:color w:val="000000"/>
          <w:sz w:val="24"/>
        </w:rPr>
        <w:t>When the claimant is not represented by counsel, a claimant’s statement on Form No. 207, which the claimant has personally completed, certified and signed, must be submitted with all settlement and commutation forms and documents.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4">
        <w:r>
          <w:rPr>
            <w:rStyle w:val="Hyperlink"/>
            <w:rFonts w:ascii="Times New Roman" w:hAnsi="Times New Roman"/>
            <w:b w:val="false"/>
            <w:i w:val="false"/>
            <w:color w:val="000000"/>
            <w:sz w:val="24"/>
          </w:rPr>
          <w:t>85.35</w:t>
        </w:r>
      </w:hyperlink>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876—6.8</w:t>
      </w:r>
      <w:r>
        <w:rPr>
          <w:rFonts w:ascii="Times New Roman" w:hAnsi="Times New Roman"/>
          <w:b/>
          <w:i w:val="false"/>
          <w:color w:val="000000"/>
          <w:sz w:val="24"/>
        </w:rPr>
        <w:t xml:space="preserve">(85,10A) </w:t>
      </w:r>
      <w:r>
        <w:rPr>
          <w:rFonts w:ascii="Times New Roman" w:hAnsi="Times New Roman"/>
          <w:b/>
          <w:i w:val="false"/>
          <w:color w:val="000000"/>
          <w:sz w:val="24"/>
        </w:rPr>
        <w:t xml:space="preserve">Failure to timely file settlement. </w:t>
      </w:r>
      <w:r>
        <w:rPr>
          <w:rFonts w:ascii="Times New Roman" w:hAnsi="Times New Roman"/>
          <w:b w:val="false"/>
          <w:i w:val="false"/>
          <w:color w:val="000000"/>
          <w:sz w:val="24"/>
        </w:rPr>
        <w:t>If a party notifies the workers’ compensation commissioner that a matter scheduled for a hearing has been settled and the matter is removed from the hearing schedule, the proposed settlement shall be filed with the workers’ compensation commissioner within 60 days of the notification. A party may, within 60 days of the notification, request an extension of time to file the settlement documents. If the settlement documents are not timely filed, the matter will be reassigned for hearing in Des Moines at a date determined by the workers’ compensation commissioner and the parties cannot request that the matter be rescheduled. Any matter rescheduled because settlement documents were not timely filed shall not again be removed from the hearing schedule because a party notifies the workers’ compensation commissioner of a settlement.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6">
        <w:r>
          <w:rPr>
            <w:rStyle w:val="Hyperlink"/>
            <w:rFonts w:ascii="Times New Roman" w:hAnsi="Times New Roman"/>
            <w:b w:val="false"/>
            <w:i w:val="false"/>
            <w:color w:val="000000"/>
            <w:sz w:val="24"/>
          </w:rPr>
          <w:t>85.35</w:t>
        </w:r>
      </w:hyperlink>
      <w:r>
        <w:rPr>
          <w:rFonts w:ascii="Times New Roman" w:hAnsi="Times New Roman"/>
          <w:b w:val="false"/>
          <w:i w:val="false"/>
          <w:color w:val="000000"/>
          <w:sz w:val="24"/>
        </w:rPr>
        <w:t>, </w:t>
      </w:r>
      <w:hyperlink r:id="rId37">
        <w:r>
          <w:rPr>
            <w:rStyle w:val="Hyperlink"/>
            <w:rFonts w:ascii="Times New Roman" w:hAnsi="Times New Roman"/>
            <w:b w:val="false"/>
            <w:i w:val="false"/>
            <w:color w:val="000000"/>
            <w:sz w:val="24"/>
          </w:rPr>
          <w:t>85.47</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85.48</w:t>
        </w:r>
      </w:hyperlink>
      <w:r>
        <w:rPr>
          <w:rFonts w:ascii="Times New Roman" w:hAnsi="Times New Roman"/>
          <w:b w:val="false"/>
          <w:i w:val="false"/>
          <w:color w:val="000000"/>
          <w:sz w:val="24"/>
        </w:rPr>
        <w:t xml:space="preserve">, </w:t>
      </w:r>
      <w:hyperlink r:id="rId39">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40">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 xml:space="preserve"> and </w:t>
      </w:r>
      <w:hyperlink r:id="rId41">
        <w:r>
          <w:rPr>
            <w:rStyle w:val="Hyperlink"/>
            <w:rFonts w:ascii="Times New Roman" w:hAnsi="Times New Roman"/>
            <w:b w:val="false"/>
            <w:i w:val="false"/>
            <w:color w:val="000000"/>
            <w:sz w:val="24"/>
          </w:rPr>
          <w:t>10A.323</w:t>
        </w:r>
      </w:hyperlink>
      <w:r>
        <w:rPr>
          <w:rFonts w:ascii="Times New Roman" w:hAnsi="Times New Roman"/>
          <w:b w:val="false"/>
          <w:i w:val="false"/>
          <w:color w:val="000000"/>
          <w:sz w:val="24"/>
        </w:rPr>
        <w:t>.</w:t>
      </w:r>
    </w:p>
    <w:sectPr>
      <w:footerReference r:id="rId4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dial-iowa-gov.zoom.us/j/81654334225?pwd=5JUj7K10vOhVPFGUp2QWlyI2imRXx9.1" Type="http://schemas.openxmlformats.org/officeDocument/2006/relationships/hyperlink" Id="rId4"/>
    <Relationship TargetMode="External" Target="mailto:william.grell@dia.iowa.gov" Type="http://schemas.openxmlformats.org/officeDocument/2006/relationships/hyperlink" Id="rId5"/>
    <Relationship TargetMode="External" Target="https://www.legis.iowa.gov/docs/ico/chapter/85.35.pdf" Type="http://schemas.openxmlformats.org/officeDocument/2006/relationships/hyperlink" Id="rId6"/>
    <Relationship TargetMode="External" Target="https://www.legis.iowa.gov/docs/ico/chapter/85.35.pdf" Type="http://schemas.openxmlformats.org/officeDocument/2006/relationships/hyperlink" Id="rId7"/>
    <Relationship TargetMode="External" Target="https://www.legis.iowa.gov/docs/ico/chapter/85.35.pdf" Type="http://schemas.openxmlformats.org/officeDocument/2006/relationships/hyperlink" Id="rId8"/>
    <Relationship TargetMode="External" Target="https://www.legis.iowa.gov/docs/ico/chapter/85.35.pdf" Type="http://schemas.openxmlformats.org/officeDocument/2006/relationships/hyperlink" Id="rId9"/>
    <Relationship TargetMode="External" Target="https://www.legis.iowa.gov/docs/ico/chapter/85.35.pdf" Type="http://schemas.openxmlformats.org/officeDocument/2006/relationships/hyperlink" Id="rId10"/>
    <Relationship TargetMode="External" Target="https://www.legis.iowa.gov/docs/ico/chapter/85.35.pdf" Type="http://schemas.openxmlformats.org/officeDocument/2006/relationships/hyperlink" Id="rId11"/>
    <Relationship TargetMode="External" Target="https://www.legis.iowa.gov/docs/ico/chapter/85.35.pdf" Type="http://schemas.openxmlformats.org/officeDocument/2006/relationships/hyperlink" Id="rId12"/>
    <Relationship TargetMode="External" Target="https://www.legis.iowa.gov/docs/ico/chapter/85.26.pdf" Type="http://schemas.openxmlformats.org/officeDocument/2006/relationships/hyperlink" Id="rId13"/>
    <Relationship TargetMode="External" Target="https://www.legis.iowa.gov/docs/ico/chapter/85.35.pdf" Type="http://schemas.openxmlformats.org/officeDocument/2006/relationships/hyperlink" Id="rId14"/>
    <Relationship TargetMode="External" Target="https://www.legis.iowa.gov/docs/ico/chapter/85.35.pdf" Type="http://schemas.openxmlformats.org/officeDocument/2006/relationships/hyperlink" Id="rId15"/>
    <Relationship TargetMode="External" Target="https://www.legis.iowa.gov/docs/iac/rule/876.6.4.pdf" Type="http://schemas.openxmlformats.org/officeDocument/2006/relationships/hyperlink" Id="rId16"/>
    <Relationship TargetMode="External" Target="https://www.legis.iowa.gov/docs/ico/chapter/85.45.pdf" Type="http://schemas.openxmlformats.org/officeDocument/2006/relationships/hyperlink" Id="rId17"/>
    <Relationship TargetMode="External" Target="https://www.legis.iowa.gov/docs/ico/chapter/85.47.pdf" Type="http://schemas.openxmlformats.org/officeDocument/2006/relationships/hyperlink" Id="rId18"/>
    <Relationship TargetMode="External" Target="https://www.legis.iowa.gov/docs/iac/rule/876.6.3.pdf" Type="http://schemas.openxmlformats.org/officeDocument/2006/relationships/hyperlink" Id="rId19"/>
    <Relationship TargetMode="External" Target="https://www.legis.iowa.gov/docs/ico/chapter/668.13.pdf" Type="http://schemas.openxmlformats.org/officeDocument/2006/relationships/hyperlink" Id="rId20"/>
    <Relationship TargetMode="External" Target="https://www.legis.iowa.gov/docs/ico/chapter/85.45.pdf" Type="http://schemas.openxmlformats.org/officeDocument/2006/relationships/hyperlink" Id="rId21"/>
    <Relationship TargetMode="External" Target="https://www.legis.iowa.gov/docs/ico/chapter/85.47.pdf" Type="http://schemas.openxmlformats.org/officeDocument/2006/relationships/hyperlink" Id="rId22"/>
    <Relationship TargetMode="External" Target="https://www.legis.iowa.gov/docs/iac/chapter/876.3.pdf" Type="http://schemas.openxmlformats.org/officeDocument/2006/relationships/hyperlink" Id="rId23"/>
    <Relationship TargetMode="External" Target="https://www.legis.iowa.gov/docs/ico/chapter/85.45.pdf" Type="http://schemas.openxmlformats.org/officeDocument/2006/relationships/hyperlink" Id="rId24"/>
    <Relationship TargetMode="External" Target="https://www.legis.iowa.gov/docs/ico/chapter/85.47.pdf" Type="http://schemas.openxmlformats.org/officeDocument/2006/relationships/hyperlink" Id="rId25"/>
    <Relationship TargetMode="External" Target="https://www.legis.iowa.gov/docs/ico/chapter/85.35.pdf" Type="http://schemas.openxmlformats.org/officeDocument/2006/relationships/hyperlink" Id="rId26"/>
    <Relationship TargetMode="External" Target="https://www.legis.iowa.gov/docs/ico/chapter/85.35.pdf" Type="http://schemas.openxmlformats.org/officeDocument/2006/relationships/hyperlink" Id="rId27"/>
    <Relationship TargetMode="External" Target="https://www.legis.iowa.gov/docs/ico/chapter/85.45.pdf" Type="http://schemas.openxmlformats.org/officeDocument/2006/relationships/hyperlink" Id="rId28"/>
    <Relationship TargetMode="External" Target="https://www.legis.iowa.gov/docs/ico/chapter/85.47.pdf" Type="http://schemas.openxmlformats.org/officeDocument/2006/relationships/hyperlink" Id="rId29"/>
    <Relationship TargetMode="External" Target="https://www.legis.iowa.gov/docs/ico/chapter/85.35.pdf" Type="http://schemas.openxmlformats.org/officeDocument/2006/relationships/hyperlink" Id="rId30"/>
    <Relationship TargetMode="External" Target="https://www.legis.iowa.gov/docs/ico/chapter/85.47.pdf" Type="http://schemas.openxmlformats.org/officeDocument/2006/relationships/hyperlink" Id="rId31"/>
    <Relationship TargetMode="External" Target="https://www.legis.iowa.gov/docs/ico/chapter/10A.315.pdf" Type="http://schemas.openxmlformats.org/officeDocument/2006/relationships/hyperlink" Id="rId32"/>
    <Relationship TargetMode="External" Target="https://www.legis.iowa.gov/docs/ico/chapter/10A.323.pdf" Type="http://schemas.openxmlformats.org/officeDocument/2006/relationships/hyperlink" Id="rId33"/>
    <Relationship TargetMode="External" Target="https://www.legis.iowa.gov/docs/ico/chapter/85.35.pdf" Type="http://schemas.openxmlformats.org/officeDocument/2006/relationships/hyperlink" Id="rId34"/>
    <Relationship TargetMode="External" Target="https://www.legis.iowa.gov/docs/ico/chapter/10A.310.pdf" Type="http://schemas.openxmlformats.org/officeDocument/2006/relationships/hyperlink" Id="rId35"/>
    <Relationship TargetMode="External" Target="https://www.legis.iowa.gov/docs/ico/chapter/85.35.pdf" Type="http://schemas.openxmlformats.org/officeDocument/2006/relationships/hyperlink" Id="rId36"/>
    <Relationship TargetMode="External" Target="https://www.legis.iowa.gov/docs/ico/chapter/85.47.pdf" Type="http://schemas.openxmlformats.org/officeDocument/2006/relationships/hyperlink" Id="rId37"/>
    <Relationship TargetMode="External" Target="https://www.legis.iowa.gov/docs/ico/chapter/85.48.pdf" Type="http://schemas.openxmlformats.org/officeDocument/2006/relationships/hyperlink" Id="rId38"/>
    <Relationship TargetMode="External" Target="https://www.legis.iowa.gov/docs/ico/chapter/10A.310.pdf" Type="http://schemas.openxmlformats.org/officeDocument/2006/relationships/hyperlink" Id="rId39"/>
    <Relationship TargetMode="External" Target="https://www.legis.iowa.gov/docs/ico/chapter/10A.315.pdf" Type="http://schemas.openxmlformats.org/officeDocument/2006/relationships/hyperlink" Id="rId40"/>
    <Relationship TargetMode="External" Target="https://www.legis.iowa.gov/docs/ico/chapter/10A.323.pdf" Type="http://schemas.openxmlformats.org/officeDocument/2006/relationships/hyperlink" Id="rId41"/>
    <Relationship Target="footer.xml" Type="http://schemas.openxmlformats.org/officeDocument/2006/relationships/footer"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